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南京航空航天大学</w:t>
      </w:r>
      <w:bookmarkStart w:id="0" w:name="OLE_LINK2"/>
      <w:r>
        <w:rPr>
          <w:rFonts w:hint="eastAsia" w:ascii="黑体" w:hAnsi="黑体" w:eastAsia="黑体"/>
          <w:b/>
          <w:sz w:val="44"/>
          <w:szCs w:val="44"/>
        </w:rPr>
        <w:t>对外投资审批简要流程</w:t>
      </w:r>
      <w:bookmarkEnd w:id="0"/>
    </w:p>
    <w:p>
      <w:pPr>
        <w:spacing w:beforeLines="50" w:afterLines="50" w:line="276" w:lineRule="auto"/>
        <w:ind w:firstLine="482" w:firstLineChars="200"/>
        <w:rPr>
          <w:rFonts w:ascii="Times New Roman" w:hAnsi="Times New Roman" w:eastAsia="仿宋_GB2312" w:cs="Times New Roman"/>
          <w:sz w:val="24"/>
          <w:szCs w:val="24"/>
        </w:rPr>
      </w:pPr>
      <w:r>
        <w:rPr>
          <w:rFonts w:ascii="Times New Roman" w:hAnsi="黑体" w:eastAsia="黑体" w:cs="Times New Roman"/>
          <w:b/>
          <w:sz w:val="24"/>
          <w:szCs w:val="24"/>
        </w:rPr>
        <w:t>依据：</w:t>
      </w:r>
      <w:r>
        <w:rPr>
          <w:rFonts w:ascii="Times New Roman" w:hAnsi="Times New Roman" w:eastAsia="仿宋_GB2312" w:cs="Times New Roman"/>
          <w:sz w:val="24"/>
          <w:szCs w:val="24"/>
        </w:rPr>
        <w:t>财政部《事业单位国有资产管理暂行办法》（财政部令第36号）、《工业和信息化部所属事业单位国有资产对外投资管理暂行办法》（工信部财[2011]549号）、教育部《关于积极发展、规范管理高校科技产业的指导意见》（教技发[2005]2号）、</w:t>
      </w:r>
      <w:r>
        <w:rPr>
          <w:rFonts w:hint="eastAsia" w:ascii="Times New Roman" w:hAnsi="Times New Roman" w:eastAsia="仿宋_GB2312" w:cs="Times New Roman"/>
          <w:sz w:val="24"/>
          <w:szCs w:val="24"/>
        </w:rPr>
        <w:t>教育部、科技部《关于加强高等学校科技成果转移转化工作的若干意见》（教技[2016]3号）、</w:t>
      </w:r>
      <w:r>
        <w:rPr>
          <w:rFonts w:ascii="Times New Roman" w:hAnsi="Times New Roman" w:eastAsia="仿宋_GB2312" w:cs="Times New Roman"/>
          <w:sz w:val="24"/>
          <w:szCs w:val="24"/>
        </w:rPr>
        <w:t>《南京航空航天大学</w:t>
      </w:r>
      <w:r>
        <w:rPr>
          <w:rFonts w:hint="eastAsia" w:ascii="Times New Roman" w:hAnsi="Times New Roman" w:eastAsia="仿宋_GB2312" w:cs="Times New Roman"/>
          <w:sz w:val="24"/>
          <w:szCs w:val="24"/>
          <w:lang w:eastAsia="zh-CN"/>
        </w:rPr>
        <w:t>对外投资</w:t>
      </w:r>
      <w:r>
        <w:rPr>
          <w:rFonts w:ascii="Times New Roman" w:hAnsi="Times New Roman" w:eastAsia="仿宋_GB2312" w:cs="Times New Roman"/>
          <w:sz w:val="24"/>
          <w:szCs w:val="24"/>
        </w:rPr>
        <w:t>管理办法（试行）》</w:t>
      </w:r>
      <w:r>
        <w:rPr>
          <w:rFonts w:hint="eastAsia" w:ascii="Times New Roman" w:hAnsi="Times New Roman" w:eastAsia="仿宋_GB2312" w:cs="Times New Roman"/>
          <w:sz w:val="24"/>
          <w:szCs w:val="24"/>
        </w:rPr>
        <w:t>（校资产字[2016]</w:t>
      </w:r>
      <w:r>
        <w:rPr>
          <w:rFonts w:hint="eastAsia"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rPr>
        <w:t>号）</w:t>
      </w:r>
      <w:r>
        <w:rPr>
          <w:rFonts w:ascii="Times New Roman" w:hAnsi="Times New Roman" w:eastAsia="仿宋_GB2312" w:cs="Times New Roman"/>
          <w:sz w:val="24"/>
          <w:szCs w:val="24"/>
        </w:rPr>
        <w:t>等国家有关法律、法规和学校有关规定</w:t>
      </w:r>
      <w:r>
        <w:rPr>
          <w:rFonts w:hint="eastAsia" w:ascii="Times New Roman" w:hAnsi="Times New Roman" w:eastAsia="仿宋_GB2312" w:cs="Times New Roman"/>
          <w:sz w:val="24"/>
          <w:szCs w:val="24"/>
        </w:rPr>
        <w:t>。</w:t>
      </w:r>
    </w:p>
    <w:tbl>
      <w:tblPr>
        <w:tblStyle w:val="9"/>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88" w:type="dxa"/>
            <w:gridSpan w:val="2"/>
            <w:vAlign w:val="center"/>
          </w:tcPr>
          <w:p>
            <w:pPr>
              <w:jc w:val="center"/>
              <w:rPr>
                <w:rFonts w:ascii="黑体" w:hAnsi="黑体" w:eastAsia="黑体" w:cs="Times New Roman"/>
                <w:b/>
                <w:sz w:val="24"/>
                <w:szCs w:val="24"/>
              </w:rPr>
            </w:pPr>
            <w:r>
              <w:rPr>
                <w:rFonts w:hint="eastAsia" w:ascii="黑体" w:hAnsi="黑体" w:eastAsia="黑体" w:cs="Times New Roman"/>
                <w:b/>
                <w:sz w:val="24"/>
                <w:szCs w:val="24"/>
              </w:rPr>
              <w:t>流程一：项目可行性论证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0" w:type="dxa"/>
            <w:vAlign w:val="center"/>
          </w:tcPr>
          <w:p>
            <w:pPr>
              <w:jc w:val="center"/>
              <w:rPr>
                <w:rFonts w:ascii="黑体" w:hAnsi="黑体" w:eastAsia="黑体" w:cs="Times New Roman"/>
                <w:b/>
                <w:szCs w:val="21"/>
              </w:rPr>
            </w:pPr>
            <w:r>
              <w:rPr>
                <w:rFonts w:hint="eastAsia" w:ascii="黑体" w:hAnsi="黑体" w:eastAsia="黑体" w:cs="Times New Roman"/>
                <w:b/>
                <w:szCs w:val="21"/>
              </w:rPr>
              <w:t>需要准备和提交的文书</w:t>
            </w:r>
          </w:p>
        </w:tc>
        <w:tc>
          <w:tcPr>
            <w:tcW w:w="7158"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rPr>
              <w:t>项目申报主要包括以下文件：</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1．项目投资申请报告或建议书；</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2．项目可行性研究报告；</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3．有关合同、协议、草案；</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4．资金来源；</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5．有关合作单位的资信情况；</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6．政府的有关许可文件；</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7．投资项目执行方案；</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8．律师事务所出具的《法律意见书》或《尽职调查报告》；</w:t>
            </w:r>
          </w:p>
          <w:p>
            <w:pPr>
              <w:ind w:firstLine="420" w:firstLineChars="200"/>
              <w:rPr>
                <w:rFonts w:ascii="黑体" w:hAnsi="黑体" w:eastAsia="黑体" w:cs="Times New Roman"/>
                <w:b/>
                <w:szCs w:val="21"/>
              </w:rPr>
            </w:pPr>
            <w:r>
              <w:rPr>
                <w:rFonts w:hint="eastAsia" w:ascii="Times New Roman" w:hAnsi="Times New Roman" w:eastAsia="仿宋_GB2312" w:cs="Times New Roman"/>
                <w:szCs w:val="21"/>
              </w:rPr>
              <w:t>9．其它需要提供的文件。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0" w:type="dxa"/>
            <w:vAlign w:val="center"/>
          </w:tcPr>
          <w:p>
            <w:pPr>
              <w:jc w:val="center"/>
              <w:rPr>
                <w:rFonts w:ascii="黑体" w:hAnsi="黑体" w:eastAsia="黑体" w:cs="Times New Roman"/>
                <w:b/>
                <w:szCs w:val="21"/>
              </w:rPr>
            </w:pPr>
            <w:r>
              <w:rPr>
                <w:rFonts w:hint="eastAsia" w:ascii="黑体" w:hAnsi="黑体" w:eastAsia="黑体" w:cs="Times New Roman"/>
                <w:b/>
                <w:szCs w:val="21"/>
              </w:rPr>
              <w:t>责任主体</w:t>
            </w:r>
          </w:p>
          <w:p>
            <w:pPr>
              <w:jc w:val="center"/>
              <w:rPr>
                <w:rFonts w:ascii="黑体" w:hAnsi="黑体" w:eastAsia="黑体" w:cs="Times New Roman"/>
                <w:b/>
                <w:szCs w:val="21"/>
              </w:rPr>
            </w:pPr>
            <w:r>
              <w:rPr>
                <w:rFonts w:hint="eastAsia" w:ascii="黑体" w:hAnsi="黑体" w:eastAsia="黑体" w:cs="Times New Roman"/>
                <w:b/>
                <w:szCs w:val="21"/>
              </w:rPr>
              <w:t>及职责</w:t>
            </w:r>
          </w:p>
        </w:tc>
        <w:tc>
          <w:tcPr>
            <w:tcW w:w="7158" w:type="dxa"/>
            <w:vAlign w:val="center"/>
          </w:tcPr>
          <w:p>
            <w:pPr>
              <w:ind w:firstLine="420" w:firstLineChars="200"/>
              <w:rPr>
                <w:rFonts w:ascii="黑体" w:hAnsi="黑体" w:eastAsia="黑体" w:cs="Times New Roman"/>
                <w:b/>
                <w:szCs w:val="21"/>
              </w:rPr>
            </w:pPr>
            <w:r>
              <w:rPr>
                <w:rFonts w:hint="eastAsia" w:ascii="Times New Roman" w:hAnsi="Times New Roman" w:eastAsia="仿宋_GB2312" w:cs="Times New Roman"/>
                <w:szCs w:val="21"/>
              </w:rPr>
              <w:t>学校对外投资项目的具体承接单位负责项目可行性论证和前期准备工作，并负责向资产经营公司</w:t>
            </w:r>
            <w:r>
              <w:rPr>
                <w:rFonts w:hint="eastAsia" w:ascii="Times New Roman" w:hAnsi="Times New Roman" w:eastAsia="仿宋_GB2312" w:cs="Times New Roman"/>
                <w:szCs w:val="21"/>
              </w:rPr>
              <w:t>进行项目申报。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0" w:type="dxa"/>
            <w:vAlign w:val="center"/>
          </w:tcPr>
          <w:p>
            <w:pPr>
              <w:jc w:val="center"/>
              <w:rPr>
                <w:rFonts w:ascii="黑体" w:hAnsi="黑体" w:eastAsia="黑体" w:cs="Times New Roman"/>
                <w:b/>
                <w:szCs w:val="21"/>
              </w:rPr>
            </w:pPr>
            <w:r>
              <w:rPr>
                <w:rFonts w:hint="eastAsia" w:ascii="黑体" w:hAnsi="黑体" w:eastAsia="黑体" w:cs="Times New Roman"/>
                <w:b/>
                <w:szCs w:val="21"/>
              </w:rPr>
              <w:t>所需时间</w:t>
            </w:r>
          </w:p>
        </w:tc>
        <w:tc>
          <w:tcPr>
            <w:tcW w:w="7158" w:type="dxa"/>
            <w:vAlign w:val="center"/>
          </w:tcPr>
          <w:p>
            <w:pPr>
              <w:ind w:firstLine="420" w:firstLineChars="200"/>
              <w:rPr>
                <w:rFonts w:ascii="黑体" w:hAnsi="黑体" w:eastAsia="黑体" w:cs="Times New Roman"/>
                <w:b/>
                <w:szCs w:val="21"/>
              </w:rPr>
            </w:pPr>
            <w:r>
              <w:rPr>
                <w:rFonts w:hint="eastAsia" w:ascii="Times New Roman" w:hAnsi="Times New Roman" w:eastAsia="仿宋_GB2312" w:cs="Times New Roman"/>
                <w:szCs w:val="21"/>
              </w:rPr>
              <w:t>由具体承接单位定。</w:t>
            </w:r>
          </w:p>
        </w:tc>
      </w:tr>
    </w:tbl>
    <w:p>
      <w:pPr>
        <w:jc w:val="left"/>
        <w:rPr>
          <w:rFonts w:ascii="Times New Roman" w:hAnsi="Times New Roman" w:eastAsia="仿宋_GB2312" w:cs="Times New Roman"/>
          <w:sz w:val="24"/>
          <w:szCs w:val="24"/>
        </w:rPr>
      </w:pPr>
    </w:p>
    <w:tbl>
      <w:tblPr>
        <w:tblStyle w:val="9"/>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88" w:type="dxa"/>
            <w:gridSpan w:val="2"/>
            <w:vAlign w:val="center"/>
          </w:tcPr>
          <w:p>
            <w:pPr>
              <w:jc w:val="center"/>
              <w:rPr>
                <w:rFonts w:ascii="黑体" w:hAnsi="黑体" w:eastAsia="黑体" w:cs="Times New Roman"/>
                <w:b/>
                <w:szCs w:val="21"/>
              </w:rPr>
            </w:pPr>
            <w:r>
              <w:rPr>
                <w:rFonts w:hint="eastAsia" w:ascii="黑体" w:hAnsi="黑体" w:eastAsia="黑体" w:cs="Times New Roman"/>
                <w:b/>
                <w:sz w:val="24"/>
                <w:szCs w:val="24"/>
              </w:rPr>
              <w:t>流程二：投资项目初审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0" w:type="dxa"/>
            <w:vAlign w:val="center"/>
          </w:tcPr>
          <w:p>
            <w:pPr>
              <w:jc w:val="center"/>
              <w:rPr>
                <w:rFonts w:ascii="黑体" w:hAnsi="黑体" w:eastAsia="黑体" w:cs="Times New Roman"/>
                <w:b/>
                <w:szCs w:val="21"/>
              </w:rPr>
            </w:pPr>
            <w:r>
              <w:rPr>
                <w:rFonts w:hint="eastAsia" w:ascii="黑体" w:hAnsi="黑体" w:eastAsia="黑体" w:cs="Times New Roman"/>
                <w:b/>
                <w:szCs w:val="21"/>
              </w:rPr>
              <w:t>主要工作</w:t>
            </w:r>
          </w:p>
        </w:tc>
        <w:tc>
          <w:tcPr>
            <w:tcW w:w="7158" w:type="dxa"/>
            <w:vAlign w:val="center"/>
          </w:tcPr>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1．校内有关部门和专家，对投资项目全部材料进行初审；</w:t>
            </w:r>
          </w:p>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2．资产公司总经理办公会提出初审意见；</w:t>
            </w:r>
          </w:p>
          <w:p>
            <w:pPr>
              <w:jc w:val="left"/>
              <w:rPr>
                <w:rFonts w:ascii="Times New Roman" w:hAnsi="Times New Roman" w:eastAsia="仿宋_GB2312" w:cs="Times New Roman"/>
                <w:szCs w:val="21"/>
              </w:rPr>
            </w:pPr>
            <w:r>
              <w:rPr>
                <w:rFonts w:hint="eastAsia" w:ascii="Times New Roman" w:hAnsi="Times New Roman" w:eastAsia="仿宋_GB2312" w:cs="Times New Roman"/>
                <w:szCs w:val="21"/>
              </w:rPr>
              <w:t>3．</w:t>
            </w:r>
            <w:r>
              <w:rPr>
                <w:rFonts w:ascii="Times New Roman" w:hAnsi="Times New Roman" w:eastAsia="仿宋_GB2312" w:cs="Times New Roman"/>
                <w:szCs w:val="21"/>
              </w:rPr>
              <w:t>资产公司董事会审议</w:t>
            </w:r>
            <w:r>
              <w:rPr>
                <w:rFonts w:hint="eastAsia"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0" w:type="dxa"/>
            <w:vAlign w:val="center"/>
          </w:tcPr>
          <w:p>
            <w:pPr>
              <w:jc w:val="center"/>
              <w:rPr>
                <w:rFonts w:ascii="黑体" w:hAnsi="黑体" w:eastAsia="黑体" w:cs="Times New Roman"/>
                <w:b/>
                <w:szCs w:val="21"/>
              </w:rPr>
            </w:pPr>
            <w:r>
              <w:rPr>
                <w:rFonts w:hint="eastAsia" w:ascii="黑体" w:hAnsi="黑体" w:eastAsia="黑体" w:cs="Times New Roman"/>
                <w:b/>
                <w:szCs w:val="21"/>
              </w:rPr>
              <w:t>责任主体</w:t>
            </w:r>
          </w:p>
          <w:p>
            <w:pPr>
              <w:jc w:val="center"/>
              <w:rPr>
                <w:rFonts w:ascii="黑体" w:hAnsi="黑体" w:eastAsia="黑体" w:cs="Times New Roman"/>
                <w:b/>
                <w:szCs w:val="21"/>
              </w:rPr>
            </w:pPr>
            <w:r>
              <w:rPr>
                <w:rFonts w:hint="eastAsia" w:ascii="黑体" w:hAnsi="黑体" w:eastAsia="黑体" w:cs="Times New Roman"/>
                <w:b/>
                <w:szCs w:val="21"/>
              </w:rPr>
              <w:t>及职责</w:t>
            </w:r>
          </w:p>
        </w:tc>
        <w:tc>
          <w:tcPr>
            <w:tcW w:w="7158" w:type="dxa"/>
            <w:vAlign w:val="center"/>
          </w:tcPr>
          <w:p>
            <w:pPr>
              <w:pStyle w:val="6"/>
              <w:spacing w:before="0" w:beforeAutospacing="0" w:after="0" w:afterAutospacing="0"/>
              <w:ind w:firstLine="420" w:firstLineChars="200"/>
              <w:jc w:val="both"/>
              <w:rPr>
                <w:rFonts w:ascii="黑体" w:hAnsi="黑体" w:eastAsia="黑体" w:cs="Times New Roman"/>
                <w:b/>
                <w:sz w:val="21"/>
                <w:szCs w:val="21"/>
              </w:rPr>
            </w:pPr>
            <w:r>
              <w:rPr>
                <w:rFonts w:hint="eastAsia" w:ascii="Times New Roman" w:hAnsi="Times New Roman" w:eastAsia="仿宋_GB2312" w:cs="Times New Roman"/>
                <w:sz w:val="21"/>
                <w:szCs w:val="21"/>
              </w:rPr>
              <w:t>资产经营公司负责投资项目材料初审工作；负责征求法律顾问意见；对通过初审的项目提出评审意见，报学校经资委或校长办公会研究决策，重大事项需报常委会研究决策。对未通过初审的项目，退回材料并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0" w:type="dxa"/>
            <w:vAlign w:val="center"/>
          </w:tcPr>
          <w:p>
            <w:pPr>
              <w:jc w:val="center"/>
              <w:rPr>
                <w:rFonts w:ascii="黑体" w:hAnsi="黑体" w:eastAsia="黑体" w:cs="Times New Roman"/>
                <w:b/>
                <w:szCs w:val="21"/>
              </w:rPr>
            </w:pPr>
            <w:r>
              <w:rPr>
                <w:rFonts w:hint="eastAsia" w:ascii="黑体" w:hAnsi="黑体" w:eastAsia="黑体" w:cs="Times New Roman"/>
                <w:b/>
                <w:szCs w:val="21"/>
              </w:rPr>
              <w:t>所需时间</w:t>
            </w:r>
          </w:p>
        </w:tc>
        <w:tc>
          <w:tcPr>
            <w:tcW w:w="7158" w:type="dxa"/>
            <w:vAlign w:val="center"/>
          </w:tcPr>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自收到具体承接单位提交的完整申报材料起10个工作日内做出投资项目初审通过或未通过的意见。</w:t>
            </w:r>
          </w:p>
        </w:tc>
      </w:tr>
    </w:tbl>
    <w:p>
      <w:pPr>
        <w:jc w:val="left"/>
        <w:rPr>
          <w:rFonts w:ascii="Times New Roman" w:hAnsi="Times New Roman" w:eastAsia="仿宋_GB2312" w:cs="Times New Roman"/>
          <w:sz w:val="24"/>
          <w:szCs w:val="24"/>
        </w:rPr>
      </w:pPr>
    </w:p>
    <w:tbl>
      <w:tblPr>
        <w:tblStyle w:val="9"/>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88" w:type="dxa"/>
            <w:gridSpan w:val="2"/>
            <w:vAlign w:val="center"/>
          </w:tcPr>
          <w:p>
            <w:pPr>
              <w:jc w:val="center"/>
              <w:rPr>
                <w:rFonts w:ascii="黑体" w:hAnsi="黑体" w:eastAsia="黑体" w:cs="Times New Roman"/>
                <w:b/>
                <w:szCs w:val="21"/>
              </w:rPr>
            </w:pPr>
            <w:r>
              <w:rPr>
                <w:rFonts w:hint="eastAsia" w:ascii="黑体" w:hAnsi="黑体" w:eastAsia="黑体" w:cs="Times New Roman"/>
                <w:b/>
                <w:sz w:val="24"/>
                <w:szCs w:val="24"/>
              </w:rPr>
              <w:t>流程三：公示与注册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0" w:type="dxa"/>
            <w:vAlign w:val="center"/>
          </w:tcPr>
          <w:p>
            <w:pPr>
              <w:jc w:val="center"/>
              <w:rPr>
                <w:rFonts w:ascii="黑体" w:hAnsi="黑体" w:eastAsia="黑体" w:cs="Times New Roman"/>
                <w:b/>
                <w:szCs w:val="21"/>
              </w:rPr>
            </w:pPr>
            <w:r>
              <w:rPr>
                <w:rFonts w:hint="eastAsia" w:ascii="黑体" w:hAnsi="黑体" w:eastAsia="黑体" w:cs="Times New Roman"/>
                <w:b/>
                <w:szCs w:val="21"/>
              </w:rPr>
              <w:t>主要工作</w:t>
            </w:r>
          </w:p>
        </w:tc>
        <w:tc>
          <w:tcPr>
            <w:tcW w:w="7158" w:type="dxa"/>
            <w:vAlign w:val="center"/>
          </w:tcPr>
          <w:p>
            <w:pPr>
              <w:pStyle w:val="6"/>
              <w:spacing w:before="0" w:beforeAutospacing="0" w:after="0" w:afterAutospacing="0"/>
              <w:ind w:left="277" w:hanging="277" w:hangingChars="132"/>
              <w:jc w:val="both"/>
              <w:rPr>
                <w:rFonts w:ascii="Times New Roman" w:hAnsi="Times New Roman" w:eastAsia="仿宋_GB2312" w:cs="Times New Roman"/>
                <w:sz w:val="21"/>
                <w:szCs w:val="21"/>
              </w:rPr>
            </w:pPr>
            <w:bookmarkStart w:id="1" w:name="OLE_LINK13"/>
            <w:bookmarkStart w:id="2" w:name="OLE_LINK1"/>
            <w:r>
              <w:rPr>
                <w:rFonts w:hint="eastAsia" w:ascii="Times New Roman" w:hAnsi="Times New Roman" w:eastAsia="仿宋_GB2312" w:cs="Times New Roman"/>
                <w:sz w:val="21"/>
                <w:szCs w:val="21"/>
              </w:rPr>
              <w:t>1．</w:t>
            </w:r>
            <w:bookmarkEnd w:id="1"/>
            <w:bookmarkEnd w:id="2"/>
            <w:r>
              <w:rPr>
                <w:rFonts w:hint="eastAsia" w:ascii="Times New Roman" w:hAnsi="Times New Roman" w:eastAsia="仿宋_GB2312" w:cs="Times New Roman"/>
                <w:sz w:val="21"/>
                <w:szCs w:val="21"/>
              </w:rPr>
              <w:t>校内公示科技成果名称、简介等基本要素和拟交易价格、价格形成过程等；</w:t>
            </w:r>
          </w:p>
          <w:p>
            <w:pPr>
              <w:pStyle w:val="6"/>
              <w:spacing w:before="0" w:beforeAutospacing="0" w:after="0" w:afterAutospacing="0"/>
              <w:ind w:left="277" w:hanging="277" w:hangingChars="132"/>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2．公示无异议后，办理工商注册手续。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0" w:type="dxa"/>
            <w:vAlign w:val="center"/>
          </w:tcPr>
          <w:p>
            <w:pPr>
              <w:jc w:val="center"/>
              <w:rPr>
                <w:rFonts w:ascii="黑体" w:hAnsi="黑体" w:eastAsia="黑体" w:cs="Times New Roman"/>
                <w:b/>
                <w:szCs w:val="21"/>
              </w:rPr>
            </w:pPr>
            <w:r>
              <w:rPr>
                <w:rFonts w:hint="eastAsia" w:ascii="黑体" w:hAnsi="黑体" w:eastAsia="黑体" w:cs="Times New Roman"/>
                <w:b/>
                <w:szCs w:val="21"/>
              </w:rPr>
              <w:t>责任主体</w:t>
            </w:r>
          </w:p>
          <w:p>
            <w:pPr>
              <w:jc w:val="center"/>
              <w:rPr>
                <w:rFonts w:ascii="黑体" w:hAnsi="黑体" w:eastAsia="黑体" w:cs="Times New Roman"/>
                <w:b/>
                <w:szCs w:val="21"/>
              </w:rPr>
            </w:pPr>
            <w:r>
              <w:rPr>
                <w:rFonts w:hint="eastAsia" w:ascii="黑体" w:hAnsi="黑体" w:eastAsia="黑体" w:cs="Times New Roman"/>
                <w:b/>
                <w:szCs w:val="21"/>
              </w:rPr>
              <w:t>及职责</w:t>
            </w:r>
          </w:p>
        </w:tc>
        <w:tc>
          <w:tcPr>
            <w:tcW w:w="7158" w:type="dxa"/>
            <w:vAlign w:val="center"/>
          </w:tcPr>
          <w:p>
            <w:pPr>
              <w:pStyle w:val="6"/>
              <w:spacing w:before="0" w:beforeAutospacing="0" w:after="0" w:afterAutospacing="0"/>
              <w:ind w:firstLine="420" w:firstLineChars="200"/>
              <w:jc w:val="both"/>
              <w:rPr>
                <w:rFonts w:ascii="黑体" w:hAnsi="黑体" w:eastAsia="黑体" w:cs="Times New Roman"/>
                <w:b/>
                <w:sz w:val="21"/>
                <w:szCs w:val="21"/>
              </w:rPr>
            </w:pPr>
            <w:r>
              <w:rPr>
                <w:rFonts w:hint="eastAsia" w:ascii="Times New Roman" w:hAnsi="Times New Roman" w:eastAsia="仿宋_GB2312" w:cs="Times New Roman"/>
                <w:sz w:val="21"/>
                <w:szCs w:val="21"/>
              </w:rPr>
              <w:t>具体承接单位负责提供基本要素。资产经营公司负责拟交易价格、价格形成过程等资料，以及校内公示、公开异议处理程序和办法。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0" w:type="dxa"/>
            <w:vAlign w:val="center"/>
          </w:tcPr>
          <w:p>
            <w:pPr>
              <w:jc w:val="center"/>
              <w:rPr>
                <w:rFonts w:ascii="黑体" w:hAnsi="黑体" w:eastAsia="黑体" w:cs="Times New Roman"/>
                <w:b/>
                <w:szCs w:val="21"/>
              </w:rPr>
            </w:pPr>
            <w:r>
              <w:rPr>
                <w:rFonts w:hint="eastAsia" w:ascii="黑体" w:hAnsi="黑体" w:eastAsia="黑体" w:cs="Times New Roman"/>
                <w:b/>
                <w:szCs w:val="21"/>
              </w:rPr>
              <w:t>所需时间</w:t>
            </w:r>
          </w:p>
        </w:tc>
        <w:tc>
          <w:tcPr>
            <w:tcW w:w="7158" w:type="dxa"/>
            <w:vAlign w:val="center"/>
          </w:tcPr>
          <w:p>
            <w:pPr>
              <w:pStyle w:val="6"/>
              <w:spacing w:before="0" w:beforeAutospacing="0" w:after="0" w:afterAutospacing="0"/>
              <w:ind w:left="210" w:leftChars="100" w:firstLine="210" w:firstLineChars="100"/>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公示时间不少于15日。</w:t>
            </w:r>
          </w:p>
        </w:tc>
      </w:tr>
    </w:tbl>
    <w:p>
      <w:pPr>
        <w:spacing w:beforeLines="50" w:afterLines="50" w:line="276" w:lineRule="auto"/>
        <w:ind w:firstLine="482" w:firstLineChars="200"/>
        <w:rPr>
          <w:rFonts w:ascii="Times New Roman" w:hAnsi="黑体" w:eastAsia="黑体" w:cs="Times New Roman"/>
          <w:b/>
          <w:sz w:val="24"/>
          <w:szCs w:val="24"/>
        </w:rPr>
      </w:pPr>
      <w:r>
        <w:rPr>
          <w:rFonts w:hint="eastAsia" w:ascii="Times New Roman" w:hAnsi="黑体" w:eastAsia="黑体" w:cs="Times New Roman"/>
          <w:b/>
          <w:sz w:val="24"/>
          <w:szCs w:val="24"/>
        </w:rPr>
        <w:t>特别说明：上述流程中均不涉及国家秘密和国家安全内容。若涉及国家秘密和国家安全的，按国家相关规定执行。</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C6D4A"/>
    <w:rsid w:val="00011050"/>
    <w:rsid w:val="000560AB"/>
    <w:rsid w:val="00075FF2"/>
    <w:rsid w:val="00080190"/>
    <w:rsid w:val="000A4D56"/>
    <w:rsid w:val="000A7086"/>
    <w:rsid w:val="000C5BCC"/>
    <w:rsid w:val="000C74A5"/>
    <w:rsid w:val="000D748D"/>
    <w:rsid w:val="000F6C76"/>
    <w:rsid w:val="00105B23"/>
    <w:rsid w:val="0011083C"/>
    <w:rsid w:val="001148F6"/>
    <w:rsid w:val="001440C8"/>
    <w:rsid w:val="00180D2F"/>
    <w:rsid w:val="001B2C7A"/>
    <w:rsid w:val="001C4EE5"/>
    <w:rsid w:val="001D1FC5"/>
    <w:rsid w:val="001D6D24"/>
    <w:rsid w:val="001E5377"/>
    <w:rsid w:val="001E6D46"/>
    <w:rsid w:val="001F2EB6"/>
    <w:rsid w:val="001F607F"/>
    <w:rsid w:val="002144CA"/>
    <w:rsid w:val="002265AC"/>
    <w:rsid w:val="00264781"/>
    <w:rsid w:val="00264FCC"/>
    <w:rsid w:val="00265944"/>
    <w:rsid w:val="002714A9"/>
    <w:rsid w:val="00273D6D"/>
    <w:rsid w:val="00280728"/>
    <w:rsid w:val="00281842"/>
    <w:rsid w:val="00287F17"/>
    <w:rsid w:val="002925D6"/>
    <w:rsid w:val="002A7318"/>
    <w:rsid w:val="002C0BF2"/>
    <w:rsid w:val="002D3920"/>
    <w:rsid w:val="002D6821"/>
    <w:rsid w:val="003117A4"/>
    <w:rsid w:val="003500B3"/>
    <w:rsid w:val="003564A4"/>
    <w:rsid w:val="00365030"/>
    <w:rsid w:val="00365172"/>
    <w:rsid w:val="003A29C2"/>
    <w:rsid w:val="003A38A5"/>
    <w:rsid w:val="003B215A"/>
    <w:rsid w:val="003B527E"/>
    <w:rsid w:val="003D05EA"/>
    <w:rsid w:val="003D171A"/>
    <w:rsid w:val="003F7262"/>
    <w:rsid w:val="00442378"/>
    <w:rsid w:val="0044465C"/>
    <w:rsid w:val="00453579"/>
    <w:rsid w:val="004620F4"/>
    <w:rsid w:val="00476285"/>
    <w:rsid w:val="004B4348"/>
    <w:rsid w:val="004B7CBB"/>
    <w:rsid w:val="004D3E19"/>
    <w:rsid w:val="004D57B5"/>
    <w:rsid w:val="004F6EF0"/>
    <w:rsid w:val="00541BBA"/>
    <w:rsid w:val="00556AFB"/>
    <w:rsid w:val="005C55C6"/>
    <w:rsid w:val="005E494C"/>
    <w:rsid w:val="005F18B5"/>
    <w:rsid w:val="005F411B"/>
    <w:rsid w:val="0060218C"/>
    <w:rsid w:val="00654CC0"/>
    <w:rsid w:val="006872E6"/>
    <w:rsid w:val="00695BA0"/>
    <w:rsid w:val="006A28C5"/>
    <w:rsid w:val="006C7F59"/>
    <w:rsid w:val="006D1D1F"/>
    <w:rsid w:val="006E1BC2"/>
    <w:rsid w:val="00701D68"/>
    <w:rsid w:val="0072025C"/>
    <w:rsid w:val="00752E7E"/>
    <w:rsid w:val="0076162F"/>
    <w:rsid w:val="00781529"/>
    <w:rsid w:val="00795783"/>
    <w:rsid w:val="0079766D"/>
    <w:rsid w:val="007A4621"/>
    <w:rsid w:val="007A7F92"/>
    <w:rsid w:val="007B55C7"/>
    <w:rsid w:val="007B790B"/>
    <w:rsid w:val="007C1B37"/>
    <w:rsid w:val="007C424E"/>
    <w:rsid w:val="007E1EF1"/>
    <w:rsid w:val="007F0CF7"/>
    <w:rsid w:val="0081036F"/>
    <w:rsid w:val="008619CA"/>
    <w:rsid w:val="00863934"/>
    <w:rsid w:val="008B5E75"/>
    <w:rsid w:val="008D2832"/>
    <w:rsid w:val="008D3736"/>
    <w:rsid w:val="008E78EB"/>
    <w:rsid w:val="008F3EFE"/>
    <w:rsid w:val="008F510E"/>
    <w:rsid w:val="008F77D4"/>
    <w:rsid w:val="00912EFD"/>
    <w:rsid w:val="009337A0"/>
    <w:rsid w:val="009419C2"/>
    <w:rsid w:val="00966264"/>
    <w:rsid w:val="0097323D"/>
    <w:rsid w:val="00976C20"/>
    <w:rsid w:val="009A2CFC"/>
    <w:rsid w:val="009B42ED"/>
    <w:rsid w:val="009D5FF4"/>
    <w:rsid w:val="009E2243"/>
    <w:rsid w:val="00A353DC"/>
    <w:rsid w:val="00A35DAB"/>
    <w:rsid w:val="00A4065D"/>
    <w:rsid w:val="00A510C8"/>
    <w:rsid w:val="00AB0C44"/>
    <w:rsid w:val="00AB52FF"/>
    <w:rsid w:val="00AC1D69"/>
    <w:rsid w:val="00AC6D4A"/>
    <w:rsid w:val="00AE16C6"/>
    <w:rsid w:val="00AE33D1"/>
    <w:rsid w:val="00AE4D8C"/>
    <w:rsid w:val="00B123E6"/>
    <w:rsid w:val="00B55CD1"/>
    <w:rsid w:val="00B621B6"/>
    <w:rsid w:val="00B75091"/>
    <w:rsid w:val="00B94E68"/>
    <w:rsid w:val="00BB19E2"/>
    <w:rsid w:val="00BD3613"/>
    <w:rsid w:val="00BF2B34"/>
    <w:rsid w:val="00C05BAB"/>
    <w:rsid w:val="00C07809"/>
    <w:rsid w:val="00C241E6"/>
    <w:rsid w:val="00C3152A"/>
    <w:rsid w:val="00C556C5"/>
    <w:rsid w:val="00C86B03"/>
    <w:rsid w:val="00C96E01"/>
    <w:rsid w:val="00CA2478"/>
    <w:rsid w:val="00CA271D"/>
    <w:rsid w:val="00CE2BB3"/>
    <w:rsid w:val="00CF57EA"/>
    <w:rsid w:val="00CF7FA8"/>
    <w:rsid w:val="00D018BB"/>
    <w:rsid w:val="00D01BE7"/>
    <w:rsid w:val="00D13569"/>
    <w:rsid w:val="00D2065B"/>
    <w:rsid w:val="00D3074A"/>
    <w:rsid w:val="00D34DDD"/>
    <w:rsid w:val="00D658C7"/>
    <w:rsid w:val="00D84C01"/>
    <w:rsid w:val="00D92E4D"/>
    <w:rsid w:val="00D9348D"/>
    <w:rsid w:val="00D968D9"/>
    <w:rsid w:val="00DB7213"/>
    <w:rsid w:val="00DC47A6"/>
    <w:rsid w:val="00DC725A"/>
    <w:rsid w:val="00DE194C"/>
    <w:rsid w:val="00DE1C58"/>
    <w:rsid w:val="00DE6D10"/>
    <w:rsid w:val="00E322F6"/>
    <w:rsid w:val="00E526A2"/>
    <w:rsid w:val="00E61C64"/>
    <w:rsid w:val="00E62550"/>
    <w:rsid w:val="00E853FF"/>
    <w:rsid w:val="00E905DA"/>
    <w:rsid w:val="00E92223"/>
    <w:rsid w:val="00E946A1"/>
    <w:rsid w:val="00EB6F08"/>
    <w:rsid w:val="00EC3617"/>
    <w:rsid w:val="00F00BEA"/>
    <w:rsid w:val="00F275E4"/>
    <w:rsid w:val="00F33979"/>
    <w:rsid w:val="00F46774"/>
    <w:rsid w:val="00F600C8"/>
    <w:rsid w:val="00F67F2F"/>
    <w:rsid w:val="00F71C0D"/>
    <w:rsid w:val="00FD0D41"/>
    <w:rsid w:val="00FE0EDB"/>
    <w:rsid w:val="00FF3B1C"/>
    <w:rsid w:val="020C1BF4"/>
    <w:rsid w:val="02EF6FB7"/>
    <w:rsid w:val="03AE2D1B"/>
    <w:rsid w:val="138930A6"/>
    <w:rsid w:val="13E915CF"/>
    <w:rsid w:val="1D1D0AAF"/>
    <w:rsid w:val="22F54DC5"/>
    <w:rsid w:val="257D38D8"/>
    <w:rsid w:val="2E5C33EE"/>
    <w:rsid w:val="2EAB7007"/>
    <w:rsid w:val="320C6BB7"/>
    <w:rsid w:val="33F00B2F"/>
    <w:rsid w:val="34190CAF"/>
    <w:rsid w:val="34DD017C"/>
    <w:rsid w:val="36385767"/>
    <w:rsid w:val="36D66593"/>
    <w:rsid w:val="37470DF1"/>
    <w:rsid w:val="375456A9"/>
    <w:rsid w:val="3C046A5A"/>
    <w:rsid w:val="44F31B80"/>
    <w:rsid w:val="54993AA2"/>
    <w:rsid w:val="55043817"/>
    <w:rsid w:val="5C032EFD"/>
    <w:rsid w:val="5CC8219D"/>
    <w:rsid w:val="5F490FAA"/>
    <w:rsid w:val="60643AE1"/>
    <w:rsid w:val="71C66EC7"/>
    <w:rsid w:val="77233F78"/>
    <w:rsid w:val="7A216F8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character" w:customStyle="1" w:styleId="13">
    <w:name w:val="标题 1 Char"/>
    <w:basedOn w:val="7"/>
    <w:link w:val="2"/>
    <w:qFormat/>
    <w:uiPriority w:val="9"/>
    <w:rPr>
      <w:rFonts w:ascii="Times New Roman" w:hAnsi="Times New Roman" w:eastAsia="宋体" w:cs="Times New Roman"/>
      <w:b/>
      <w:bCs/>
      <w:kern w:val="44"/>
      <w:sz w:val="44"/>
      <w:szCs w:val="44"/>
    </w:rPr>
  </w:style>
  <w:style w:type="paragraph" w:customStyle="1" w:styleId="14">
    <w:name w:val="p0"/>
    <w:basedOn w:val="1"/>
    <w:qFormat/>
    <w:uiPriority w:val="0"/>
    <w:pPr>
      <w:widowControl/>
      <w:spacing w:before="100" w:beforeAutospacing="1" w:after="10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90534-D222-4B4C-9273-FEBD8CBB0EE9}">
  <ds:schemaRefs/>
</ds:datastoreItem>
</file>

<file path=docProps/app.xml><?xml version="1.0" encoding="utf-8"?>
<Properties xmlns="http://schemas.openxmlformats.org/officeDocument/2006/extended-properties" xmlns:vt="http://schemas.openxmlformats.org/officeDocument/2006/docPropsVTypes">
  <Template>Normal</Template>
  <Pages>1</Pages>
  <Words>139</Words>
  <Characters>796</Characters>
  <Lines>6</Lines>
  <Paragraphs>1</Paragraphs>
  <TotalTime>0</TotalTime>
  <ScaleCrop>false</ScaleCrop>
  <LinksUpToDate>false</LinksUpToDate>
  <CharactersWithSpaces>934</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2016-10-22T06:41:00Z</dcterms:created>
  <dc:creator>z</dc:creator>
  <cp:lastModifiedBy>hp</cp:lastModifiedBy>
  <cp:lastPrinted>2016-10-24T01:19:15Z</cp:lastPrinted>
  <dcterms:modified xsi:type="dcterms:W3CDTF">2016-10-24T01:20:56Z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